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D3302">
      <w:pPr>
        <w:pStyle w:val="2"/>
        <w:spacing w:before="114" w:line="223" w:lineRule="auto"/>
        <w:ind w:left="1012"/>
      </w:pPr>
      <w:r>
        <w:rPr>
          <w:rFonts w:ascii="宋体" w:hAnsi="宋体" w:eastAsia="宋体" w:cs="宋体"/>
          <w:b/>
          <w:bCs/>
          <w:spacing w:val="7"/>
          <w:sz w:val="35"/>
          <w:szCs w:val="35"/>
        </w:rPr>
        <w:t>浙江省科学技术奖公示信息表</w:t>
      </w:r>
      <w:r>
        <w:rPr>
          <w:spacing w:val="7"/>
        </w:rPr>
        <w:t>（单位提名）</w:t>
      </w:r>
    </w:p>
    <w:p w14:paraId="207B8665">
      <w:pPr>
        <w:pStyle w:val="2"/>
        <w:spacing w:before="203" w:line="215" w:lineRule="auto"/>
        <w:ind w:left="8"/>
        <w:rPr>
          <w:sz w:val="28"/>
          <w:szCs w:val="28"/>
        </w:rPr>
      </w:pPr>
      <w:r>
        <w:rPr>
          <w:spacing w:val="2"/>
          <w:sz w:val="28"/>
          <w:szCs w:val="28"/>
        </w:rPr>
        <w:t>提名奖项</w:t>
      </w:r>
      <w:r>
        <w:rPr>
          <w:spacing w:val="-72"/>
          <w:w w:val="90"/>
          <w:sz w:val="28"/>
          <w:szCs w:val="28"/>
        </w:rPr>
        <w:t>：（</w:t>
      </w:r>
      <w:r>
        <w:rPr>
          <w:rFonts w:hint="eastAsia"/>
          <w:spacing w:val="-72"/>
          <w:w w:val="90"/>
          <w:sz w:val="28"/>
          <w:szCs w:val="28"/>
          <w:lang w:val="en-US" w:eastAsia="zh-CN"/>
        </w:rPr>
        <w:t xml:space="preserve">   </w:t>
      </w:r>
      <w:r>
        <w:rPr>
          <w:spacing w:val="2"/>
          <w:sz w:val="28"/>
          <w:szCs w:val="28"/>
        </w:rPr>
        <w:t>自然科学奖）</w:t>
      </w:r>
    </w:p>
    <w:tbl>
      <w:tblPr>
        <w:tblStyle w:val="5"/>
        <w:tblW w:w="851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38"/>
      </w:tblGrid>
      <w:tr w14:paraId="154F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272" w:type="dxa"/>
            <w:vAlign w:val="top"/>
          </w:tcPr>
          <w:p w14:paraId="537CD121">
            <w:pPr>
              <w:spacing w:before="189" w:line="216" w:lineRule="auto"/>
              <w:ind w:left="590"/>
              <w:rPr>
                <w:rFonts w:ascii="仿宋" w:hAnsi="仿宋" w:eastAsia="仿宋" w:cs="仿宋"/>
                <w:sz w:val="28"/>
                <w:szCs w:val="28"/>
              </w:rPr>
            </w:pPr>
            <w:r>
              <w:rPr>
                <w:rFonts w:ascii="仿宋" w:hAnsi="仿宋" w:eastAsia="仿宋" w:cs="仿宋"/>
                <w:spacing w:val="-5"/>
                <w:sz w:val="28"/>
                <w:szCs w:val="28"/>
              </w:rPr>
              <w:t>成果名称</w:t>
            </w:r>
          </w:p>
        </w:tc>
        <w:tc>
          <w:tcPr>
            <w:tcW w:w="6238" w:type="dxa"/>
            <w:vAlign w:val="center"/>
          </w:tcPr>
          <w:p w14:paraId="24463BC4">
            <w:pPr>
              <w:rPr>
                <w:rFonts w:ascii="Arial"/>
                <w:sz w:val="21"/>
              </w:rPr>
            </w:pPr>
            <w:r>
              <w:rPr>
                <w:rFonts w:hint="eastAsia" w:ascii="Arial"/>
                <w:sz w:val="24"/>
                <w:szCs w:val="24"/>
              </w:rPr>
              <w:t>慢性气道疾病中的衰老炎症机制与靶向干预研究</w:t>
            </w:r>
            <w:bookmarkStart w:id="0" w:name="_GoBack"/>
            <w:bookmarkEnd w:id="0"/>
          </w:p>
        </w:tc>
      </w:tr>
      <w:tr w14:paraId="57C09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2" w:type="dxa"/>
            <w:vAlign w:val="top"/>
          </w:tcPr>
          <w:p w14:paraId="73F98C76">
            <w:pPr>
              <w:spacing w:before="174" w:line="219" w:lineRule="auto"/>
              <w:ind w:left="581"/>
              <w:rPr>
                <w:rFonts w:ascii="仿宋" w:hAnsi="仿宋" w:eastAsia="仿宋" w:cs="仿宋"/>
                <w:sz w:val="28"/>
                <w:szCs w:val="28"/>
              </w:rPr>
            </w:pPr>
            <w:r>
              <w:rPr>
                <w:rFonts w:ascii="仿宋" w:hAnsi="仿宋" w:eastAsia="仿宋" w:cs="仿宋"/>
                <w:spacing w:val="-2"/>
                <w:sz w:val="28"/>
                <w:szCs w:val="28"/>
              </w:rPr>
              <w:t>提名等级</w:t>
            </w:r>
          </w:p>
        </w:tc>
        <w:tc>
          <w:tcPr>
            <w:tcW w:w="6238" w:type="dxa"/>
            <w:vAlign w:val="center"/>
          </w:tcPr>
          <w:p w14:paraId="76A33686">
            <w:pPr>
              <w:rPr>
                <w:rFonts w:hint="eastAsia" w:ascii="Arial" w:eastAsia="宋体"/>
                <w:sz w:val="21"/>
                <w:lang w:val="en-US" w:eastAsia="zh-CN"/>
              </w:rPr>
            </w:pPr>
            <w:r>
              <w:rPr>
                <w:rFonts w:hint="eastAsia" w:eastAsia="宋体"/>
                <w:sz w:val="24"/>
                <w:szCs w:val="24"/>
                <w:lang w:val="en-US" w:eastAsia="zh-CN"/>
              </w:rPr>
              <w:t>一等奖</w:t>
            </w:r>
          </w:p>
        </w:tc>
      </w:tr>
      <w:tr w14:paraId="2028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2272" w:type="dxa"/>
            <w:vAlign w:val="top"/>
          </w:tcPr>
          <w:p w14:paraId="403C30D1">
            <w:pPr>
              <w:spacing w:line="269" w:lineRule="auto"/>
              <w:rPr>
                <w:rFonts w:ascii="Arial"/>
                <w:sz w:val="21"/>
              </w:rPr>
            </w:pPr>
          </w:p>
          <w:p w14:paraId="46D7B091">
            <w:pPr>
              <w:spacing w:line="269" w:lineRule="auto"/>
              <w:rPr>
                <w:rFonts w:ascii="Arial"/>
                <w:sz w:val="21"/>
              </w:rPr>
            </w:pPr>
          </w:p>
          <w:p w14:paraId="19984BCF">
            <w:pPr>
              <w:spacing w:line="269" w:lineRule="auto"/>
              <w:rPr>
                <w:rFonts w:ascii="Arial"/>
                <w:sz w:val="21"/>
              </w:rPr>
            </w:pPr>
          </w:p>
          <w:p w14:paraId="43134962">
            <w:pPr>
              <w:spacing w:before="91" w:line="219" w:lineRule="auto"/>
              <w:ind w:left="722"/>
              <w:rPr>
                <w:rFonts w:ascii="仿宋" w:hAnsi="仿宋" w:eastAsia="仿宋" w:cs="仿宋"/>
                <w:sz w:val="28"/>
                <w:szCs w:val="28"/>
              </w:rPr>
            </w:pPr>
            <w:r>
              <w:rPr>
                <w:rFonts w:ascii="仿宋" w:hAnsi="仿宋" w:eastAsia="仿宋" w:cs="仿宋"/>
                <w:spacing w:val="-3"/>
                <w:sz w:val="28"/>
                <w:szCs w:val="28"/>
              </w:rPr>
              <w:t>提名书</w:t>
            </w:r>
          </w:p>
          <w:p w14:paraId="76B3571F">
            <w:pPr>
              <w:spacing w:before="109" w:line="217" w:lineRule="auto"/>
              <w:ind w:left="580"/>
              <w:rPr>
                <w:rFonts w:ascii="仿宋" w:hAnsi="仿宋" w:eastAsia="仿宋" w:cs="仿宋"/>
                <w:sz w:val="28"/>
                <w:szCs w:val="28"/>
              </w:rPr>
            </w:pPr>
            <w:r>
              <w:rPr>
                <w:rFonts w:ascii="仿宋" w:hAnsi="仿宋" w:eastAsia="仿宋" w:cs="仿宋"/>
                <w:spacing w:val="-2"/>
                <w:sz w:val="28"/>
                <w:szCs w:val="28"/>
              </w:rPr>
              <w:t>相关内容</w:t>
            </w:r>
          </w:p>
        </w:tc>
        <w:tc>
          <w:tcPr>
            <w:tcW w:w="6238" w:type="dxa"/>
            <w:vAlign w:val="top"/>
          </w:tcPr>
          <w:p w14:paraId="47E5D9B4">
            <w:pPr>
              <w:spacing w:before="156" w:beforeLines="50" w:line="276" w:lineRule="auto"/>
              <w:ind w:left="105" w:leftChars="50"/>
              <w:rPr>
                <w:rFonts w:eastAsia="仿宋_GB2312"/>
                <w:b/>
                <w:sz w:val="24"/>
                <w:szCs w:val="24"/>
              </w:rPr>
            </w:pPr>
            <w:r>
              <w:rPr>
                <w:rFonts w:eastAsia="仿宋_GB2312"/>
                <w:b/>
                <w:sz w:val="24"/>
                <w:szCs w:val="24"/>
              </w:rPr>
              <w:t>代表性论文专著目录</w:t>
            </w:r>
            <w:r>
              <w:rPr>
                <w:rFonts w:hint="eastAsia" w:eastAsia="仿宋_GB2312"/>
                <w:b/>
                <w:sz w:val="24"/>
                <w:szCs w:val="24"/>
              </w:rPr>
              <w:t>：</w:t>
            </w:r>
          </w:p>
          <w:p w14:paraId="367FDE33">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1.</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bCs w:val="0"/>
                <w:sz w:val="22"/>
                <w:szCs w:val="22"/>
                <w:u w:val="single"/>
              </w:rPr>
              <w:t>Ji F#</w:t>
            </w:r>
            <w:r>
              <w:rPr>
                <w:rFonts w:hint="eastAsia" w:ascii="Times New Roman" w:hAnsi="Times New Roman" w:eastAsia="仿宋_GB2312" w:cs="Times New Roman"/>
                <w:b/>
                <w:bCs w:val="0"/>
                <w:sz w:val="22"/>
                <w:szCs w:val="22"/>
                <w:u w:val="single"/>
                <w:lang w:eastAsia="zh-CN"/>
              </w:rPr>
              <w:t>（</w:t>
            </w:r>
            <w:r>
              <w:rPr>
                <w:rFonts w:hint="eastAsia" w:ascii="Times New Roman" w:hAnsi="Times New Roman" w:eastAsia="仿宋_GB2312" w:cs="Times New Roman"/>
                <w:b/>
                <w:bCs w:val="0"/>
                <w:sz w:val="22"/>
                <w:szCs w:val="22"/>
                <w:u w:val="single"/>
                <w:lang w:val="en-US" w:eastAsia="zh-CN"/>
              </w:rPr>
              <w:t>第四完成人）</w:t>
            </w:r>
            <w:r>
              <w:rPr>
                <w:rFonts w:hint="default" w:ascii="Times New Roman" w:hAnsi="Times New Roman" w:eastAsia="仿宋_GB2312" w:cs="Times New Roman"/>
                <w:bCs/>
                <w:sz w:val="22"/>
                <w:szCs w:val="22"/>
              </w:rPr>
              <w:t>, Liao H</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Pan S</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Ouyang L, Jia F, Fu Z, Zhang F, Geng X, Wang X, Li T, Liu S, Syeda MZ, Chen H, Li W, Chen Z, Shen H,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Genome-wide high-resolution mapping of mitotic DNA synthesis sites and common fragile sites by direct sequencing. </w:t>
            </w:r>
            <w:r>
              <w:rPr>
                <w:rFonts w:hint="default" w:ascii="Times New Roman" w:hAnsi="Times New Roman" w:eastAsia="仿宋_GB2312" w:cs="Times New Roman"/>
                <w:b/>
                <w:sz w:val="22"/>
                <w:szCs w:val="22"/>
              </w:rPr>
              <w:t>Cell Research</w:t>
            </w:r>
            <w:r>
              <w:rPr>
                <w:rFonts w:hint="default" w:ascii="Times New Roman" w:hAnsi="Times New Roman" w:eastAsia="仿宋_GB2312" w:cs="Times New Roman"/>
                <w:bCs/>
                <w:sz w:val="22"/>
                <w:szCs w:val="22"/>
              </w:rPr>
              <w:t>. 2020 Nov;30(11):1009-1023.</w:t>
            </w:r>
          </w:p>
          <w:p w14:paraId="68A02D5C">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lang w:val="en-US" w:eastAsia="zh-CN"/>
              </w:rPr>
            </w:pPr>
            <w:r>
              <w:rPr>
                <w:rFonts w:hint="default" w:ascii="Times New Roman" w:hAnsi="Times New Roman" w:eastAsia="仿宋_GB2312" w:cs="Times New Roman"/>
                <w:b/>
                <w:sz w:val="22"/>
                <w:szCs w:val="22"/>
              </w:rPr>
              <w:t>2.</w:t>
            </w:r>
            <w:r>
              <w:rPr>
                <w:rFonts w:hint="default" w:ascii="Times New Roman" w:hAnsi="Times New Roman" w:eastAsia="仿宋_GB2312" w:cs="Times New Roman"/>
                <w:bCs/>
                <w:sz w:val="22"/>
                <w:szCs w:val="22"/>
              </w:rPr>
              <w:t xml:space="preserve"> Xing M</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Zhang F</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Liao H, Chen S, Che L, Wang X, Bao Z, Ji F, Chen G, Zhang H, Li W, Chen Z, Liu Y, Hickson ID*, Shen H*,</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Replication Stress Induces ATR/CHK1-Dependent Nonrandom Segregation of Damaged Chromosomes. </w:t>
            </w:r>
            <w:r>
              <w:rPr>
                <w:rFonts w:hint="default" w:ascii="Times New Roman" w:hAnsi="Times New Roman" w:eastAsia="仿宋_GB2312" w:cs="Times New Roman"/>
                <w:b/>
                <w:sz w:val="22"/>
                <w:szCs w:val="22"/>
              </w:rPr>
              <w:t>Molecular Cell</w:t>
            </w:r>
            <w:r>
              <w:rPr>
                <w:rFonts w:hint="default" w:ascii="Times New Roman" w:hAnsi="Times New Roman" w:eastAsia="仿宋_GB2312" w:cs="Times New Roman"/>
                <w:bCs/>
                <w:sz w:val="22"/>
                <w:szCs w:val="22"/>
              </w:rPr>
              <w:t>. 2020 May 21;78(4):714-724.</w:t>
            </w:r>
          </w:p>
          <w:p w14:paraId="45FD6092">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
                <w:sz w:val="22"/>
                <w:szCs w:val="22"/>
                <w:u w:val="single"/>
                <w:lang w:val="en-US" w:eastAsia="zh-CN"/>
              </w:rPr>
            </w:pPr>
            <w:r>
              <w:rPr>
                <w:rFonts w:hint="default" w:ascii="Times New Roman" w:hAnsi="Times New Roman" w:eastAsia="仿宋_GB2312" w:cs="Times New Roman"/>
                <w:b/>
                <w:sz w:val="22"/>
                <w:szCs w:val="22"/>
              </w:rPr>
              <w:t>3.</w:t>
            </w:r>
            <w:r>
              <w:rPr>
                <w:rFonts w:hint="eastAsia" w:ascii="Times New Roman" w:hAnsi="Times New Roman" w:eastAsia="仿宋_GB2312" w:cs="Times New Roman"/>
                <w:b/>
                <w:sz w:val="22"/>
                <w:szCs w:val="22"/>
                <w:lang w:val="en-US" w:eastAsia="zh-CN"/>
              </w:rPr>
              <w:t xml:space="preserve"> </w:t>
            </w:r>
            <w:r>
              <w:rPr>
                <w:rFonts w:hint="default" w:ascii="Times New Roman" w:hAnsi="Times New Roman" w:eastAsia="仿宋_GB2312" w:cs="Times New Roman"/>
                <w:bCs/>
                <w:sz w:val="22"/>
                <w:szCs w:val="22"/>
              </w:rPr>
              <w:t>Geng X,</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bCs w:val="0"/>
                <w:sz w:val="22"/>
                <w:szCs w:val="22"/>
                <w:u w:val="single"/>
              </w:rPr>
              <w:t>Zhang C</w:t>
            </w:r>
            <w:r>
              <w:rPr>
                <w:rFonts w:hint="default" w:ascii="Times New Roman" w:hAnsi="Times New Roman" w:eastAsia="仿宋_GB2312" w:cs="Times New Roman"/>
                <w:b/>
                <w:sz w:val="22"/>
                <w:szCs w:val="22"/>
                <w:u w:val="single"/>
              </w:rPr>
              <w:t>（第</w:t>
            </w:r>
            <w:r>
              <w:rPr>
                <w:rFonts w:hint="eastAsia" w:ascii="Times New Roman" w:hAnsi="Times New Roman" w:eastAsia="仿宋_GB2312" w:cs="Times New Roman"/>
                <w:b/>
                <w:sz w:val="22"/>
                <w:szCs w:val="22"/>
                <w:u w:val="single"/>
                <w:lang w:val="en-US" w:eastAsia="zh-CN"/>
              </w:rPr>
              <w:t>三</w:t>
            </w:r>
            <w:r>
              <w:rPr>
                <w:rFonts w:hint="default" w:ascii="Times New Roman" w:hAnsi="Times New Roman" w:eastAsia="仿宋_GB2312" w:cs="Times New Roman"/>
                <w:b/>
                <w:sz w:val="22"/>
                <w:szCs w:val="22"/>
                <w:u w:val="single"/>
              </w:rPr>
              <w:t>完成人）</w:t>
            </w:r>
            <w:r>
              <w:rPr>
                <w:rFonts w:hint="default" w:ascii="Times New Roman" w:hAnsi="Times New Roman" w:eastAsia="仿宋_GB2312" w:cs="Times New Roman"/>
                <w:bCs/>
                <w:sz w:val="22"/>
                <w:szCs w:val="22"/>
              </w:rPr>
              <w:t xml:space="preserve">, Li M, Wang J, </w:t>
            </w:r>
            <w:r>
              <w:rPr>
                <w:rFonts w:hint="default" w:ascii="Times New Roman" w:hAnsi="Times New Roman" w:eastAsia="仿宋_GB2312" w:cs="Times New Roman"/>
                <w:bCs/>
                <w:sz w:val="22"/>
                <w:szCs w:val="22"/>
                <w:u w:val="single"/>
              </w:rPr>
              <w:t>Ji F</w:t>
            </w:r>
            <w:r>
              <w:rPr>
                <w:rFonts w:hint="default" w:ascii="Times New Roman" w:hAnsi="Times New Roman" w:eastAsia="仿宋_GB2312" w:cs="Times New Roman"/>
                <w:b/>
                <w:sz w:val="22"/>
                <w:szCs w:val="22"/>
                <w:u w:val="single"/>
              </w:rPr>
              <w:t>（第</w:t>
            </w:r>
            <w:r>
              <w:rPr>
                <w:rFonts w:hint="eastAsia" w:ascii="Times New Roman" w:hAnsi="Times New Roman" w:eastAsia="仿宋_GB2312" w:cs="Times New Roman"/>
                <w:b/>
                <w:sz w:val="22"/>
                <w:szCs w:val="22"/>
                <w:u w:val="single"/>
                <w:lang w:val="en-US" w:eastAsia="zh-CN"/>
              </w:rPr>
              <w:t>四</w:t>
            </w:r>
            <w:r>
              <w:rPr>
                <w:rFonts w:hint="default" w:ascii="Times New Roman" w:hAnsi="Times New Roman" w:eastAsia="仿宋_GB2312" w:cs="Times New Roman"/>
                <w:b/>
                <w:sz w:val="22"/>
                <w:szCs w:val="22"/>
                <w:u w:val="single"/>
              </w:rPr>
              <w:t>完成人）</w:t>
            </w:r>
            <w:r>
              <w:rPr>
                <w:rFonts w:hint="default" w:ascii="Times New Roman" w:hAnsi="Times New Roman" w:eastAsia="仿宋_GB2312" w:cs="Times New Roman"/>
                <w:bCs/>
                <w:sz w:val="22"/>
                <w:szCs w:val="22"/>
              </w:rPr>
              <w:t xml:space="preserve">, Feng H, Xing M, Li F, Zhang L, Li W, Chen Z, Hickson ID*, Shen H*, </w:t>
            </w:r>
            <w:r>
              <w:rPr>
                <w:rFonts w:hint="default" w:ascii="Times New Roman" w:hAnsi="Times New Roman" w:eastAsia="仿宋_GB2312" w:cs="Times New Roman"/>
                <w:b/>
                <w:sz w:val="22"/>
                <w:szCs w:val="22"/>
                <w:u w:val="single"/>
              </w:rPr>
              <w:t>Ying S*</w:t>
            </w:r>
            <w:r>
              <w:rPr>
                <w:rFonts w:hint="eastAsia" w:ascii="Times New Roman" w:hAnsi="Times New Roman" w:eastAsia="仿宋_GB2312" w:cs="Times New Roman"/>
                <w:b/>
                <w:sz w:val="22"/>
                <w:szCs w:val="22"/>
                <w:u w:val="single"/>
                <w:lang w:eastAsia="zh-CN"/>
              </w:rPr>
              <w:t>（</w:t>
            </w:r>
            <w:r>
              <w:rPr>
                <w:rFonts w:hint="eastAsia" w:ascii="Times New Roman" w:hAnsi="Times New Roman" w:eastAsia="仿宋_GB2312" w:cs="Times New Roman"/>
                <w:b/>
                <w:sz w:val="22"/>
                <w:szCs w:val="22"/>
                <w:u w:val="single"/>
                <w:lang w:val="en-US" w:eastAsia="zh-CN"/>
              </w:rPr>
              <w:t>第一完成人）</w:t>
            </w:r>
            <w:r>
              <w:rPr>
                <w:rFonts w:hint="eastAsia" w:ascii="Times New Roman" w:hAnsi="Times New Roman" w:eastAsia="仿宋_GB2312" w:cs="Times New Roman"/>
                <w:b w:val="0"/>
                <w:bCs/>
                <w:sz w:val="22"/>
                <w:szCs w:val="22"/>
                <w:u w:val="none"/>
                <w:lang w:val="en-US" w:eastAsia="zh-CN"/>
              </w:rPr>
              <w:t xml:space="preserve">. PICH supports embryonic hematopoiesis by suppressing a cGAS-STING-mediated interferon response. </w:t>
            </w:r>
            <w:r>
              <w:rPr>
                <w:rFonts w:hint="eastAsia" w:ascii="Times New Roman" w:hAnsi="Times New Roman" w:eastAsia="仿宋_GB2312" w:cs="Times New Roman"/>
                <w:b/>
                <w:sz w:val="22"/>
                <w:szCs w:val="22"/>
                <w:lang w:val="en-US" w:eastAsia="zh-CN"/>
              </w:rPr>
              <w:t>Advanced Science</w:t>
            </w:r>
            <w:r>
              <w:rPr>
                <w:rFonts w:hint="eastAsia" w:ascii="Times New Roman" w:hAnsi="Times New Roman" w:eastAsia="仿宋_GB2312" w:cs="Times New Roman"/>
                <w:b w:val="0"/>
                <w:bCs/>
                <w:sz w:val="22"/>
                <w:szCs w:val="22"/>
                <w:lang w:val="en-US" w:eastAsia="zh-CN"/>
              </w:rPr>
              <w:t>.</w:t>
            </w:r>
            <w:r>
              <w:rPr>
                <w:rFonts w:hint="eastAsia" w:ascii="Times New Roman" w:hAnsi="Times New Roman" w:eastAsia="仿宋_GB2312" w:cs="Times New Roman"/>
                <w:b/>
                <w:sz w:val="22"/>
                <w:szCs w:val="22"/>
                <w:lang w:val="en-US" w:eastAsia="zh-CN"/>
              </w:rPr>
              <w:t xml:space="preserve"> </w:t>
            </w:r>
            <w:r>
              <w:rPr>
                <w:rFonts w:hint="eastAsia" w:ascii="Times New Roman" w:hAnsi="Times New Roman" w:eastAsia="仿宋_GB2312" w:cs="Times New Roman"/>
                <w:b w:val="0"/>
                <w:bCs/>
                <w:sz w:val="22"/>
                <w:szCs w:val="22"/>
                <w:u w:val="none"/>
                <w:lang w:val="en-US" w:eastAsia="zh-CN"/>
              </w:rPr>
              <w:t>2022;9(7):e2103837.</w:t>
            </w:r>
          </w:p>
          <w:p w14:paraId="1A333E5F">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4.</w:t>
            </w:r>
            <w:r>
              <w:rPr>
                <w:rFonts w:hint="default" w:ascii="Times New Roman" w:hAnsi="Times New Roman" w:eastAsia="仿宋_GB2312" w:cs="Times New Roman"/>
                <w:bCs/>
                <w:sz w:val="22"/>
                <w:szCs w:val="22"/>
              </w:rPr>
              <w:t xml:space="preserve"> Lu Y</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Zheng Y</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Coyaud É</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sz w:val="22"/>
                <w:szCs w:val="22"/>
                <w:u w:val="single"/>
              </w:rPr>
              <w:t>Zhang C</w:t>
            </w:r>
            <w:r>
              <w:rPr>
                <w:rFonts w:hint="default" w:ascii="Times New Roman" w:hAnsi="Times New Roman" w:eastAsia="仿宋_GB2312" w:cs="Times New Roman"/>
                <w:b/>
                <w:sz w:val="22"/>
                <w:szCs w:val="22"/>
                <w:u w:val="single"/>
                <w:vertAlign w:val="superscript"/>
              </w:rPr>
              <w:t>#</w:t>
            </w:r>
            <w:r>
              <w:rPr>
                <w:rFonts w:hint="default" w:ascii="Times New Roman" w:hAnsi="Times New Roman" w:eastAsia="仿宋_GB2312" w:cs="Times New Roman"/>
                <w:b/>
                <w:sz w:val="22"/>
                <w:szCs w:val="22"/>
                <w:u w:val="single"/>
              </w:rPr>
              <w:t>（第三完成人）</w:t>
            </w:r>
            <w:r>
              <w:rPr>
                <w:rFonts w:hint="default" w:ascii="Times New Roman" w:hAnsi="Times New Roman" w:eastAsia="仿宋_GB2312" w:cs="Times New Roman"/>
                <w:bCs/>
                <w:sz w:val="22"/>
                <w:szCs w:val="22"/>
              </w:rPr>
              <w:t xml:space="preserve">, Selvabaskaran A, Yu Y, Xu Z, Weng X, Chen JS, Meng Y, Warner N, Cheng X, Liu Y, Yao B, Hu H, Xia Z, Muise AM, Klip A, Brumell JH, Girardin SE,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Fairn GD, Raught B*, Sun Q*,</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sz w:val="22"/>
                <w:szCs w:val="22"/>
                <w:u w:val="single"/>
              </w:rPr>
              <w:t>Neculai D*（第二完成人）</w:t>
            </w:r>
            <w:r>
              <w:rPr>
                <w:rFonts w:hint="default" w:ascii="Times New Roman" w:hAnsi="Times New Roman" w:eastAsia="仿宋_GB2312" w:cs="Times New Roman"/>
                <w:b/>
                <w:sz w:val="22"/>
                <w:szCs w:val="22"/>
              </w:rPr>
              <w:t>.</w:t>
            </w:r>
            <w:r>
              <w:rPr>
                <w:rFonts w:hint="default" w:ascii="Times New Roman" w:hAnsi="Times New Roman" w:eastAsia="仿宋_GB2312" w:cs="Times New Roman"/>
                <w:bCs/>
                <w:sz w:val="22"/>
                <w:szCs w:val="22"/>
              </w:rPr>
              <w:t xml:space="preserve"> Palmitoylation of NOD1 and NOD2 is required for bacterial sensing. </w:t>
            </w:r>
            <w:r>
              <w:rPr>
                <w:rFonts w:hint="default" w:ascii="Times New Roman" w:hAnsi="Times New Roman" w:eastAsia="仿宋_GB2312" w:cs="Times New Roman"/>
                <w:b/>
                <w:sz w:val="22"/>
                <w:szCs w:val="22"/>
              </w:rPr>
              <w:t>Science</w:t>
            </w:r>
            <w:r>
              <w:rPr>
                <w:rFonts w:hint="default" w:ascii="Times New Roman" w:hAnsi="Times New Roman" w:eastAsia="仿宋_GB2312" w:cs="Times New Roman"/>
                <w:bCs/>
                <w:sz w:val="22"/>
                <w:szCs w:val="22"/>
              </w:rPr>
              <w:t xml:space="preserve">. 2019 Oct 25;366(6464):460-467. </w:t>
            </w:r>
          </w:p>
          <w:p w14:paraId="3ED194C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Cs/>
                <w:sz w:val="22"/>
                <w:szCs w:val="22"/>
              </w:rPr>
              <w:t>Zhan X</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Cui R</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Geng X</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Li J, Zhou Y, He L, Cao C,</w:t>
            </w:r>
            <w:r>
              <w:rPr>
                <w:rFonts w:hint="default" w:ascii="Times New Roman" w:hAnsi="Times New Roman" w:eastAsia="仿宋_GB2312" w:cs="Times New Roman"/>
                <w:b/>
                <w:sz w:val="22"/>
                <w:szCs w:val="22"/>
              </w:rPr>
              <w:t xml:space="preserve"> </w:t>
            </w:r>
            <w:r>
              <w:rPr>
                <w:rFonts w:hint="default" w:ascii="Times New Roman" w:hAnsi="Times New Roman" w:eastAsia="仿宋_GB2312" w:cs="Times New Roman"/>
                <w:b/>
                <w:sz w:val="22"/>
                <w:szCs w:val="22"/>
                <w:u w:val="single"/>
              </w:rPr>
              <w:t>Zhang C*（第三完成人）</w:t>
            </w:r>
            <w:r>
              <w:rPr>
                <w:rFonts w:hint="default" w:ascii="Times New Roman" w:hAnsi="Times New Roman" w:eastAsia="仿宋_GB2312" w:cs="Times New Roman"/>
                <w:bCs/>
                <w:sz w:val="22"/>
                <w:szCs w:val="22"/>
              </w:rPr>
              <w:t xml:space="preserve">, Chen Z*,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LPS-induced mitochondrial DNA synthesis and release facilitate RAD50-dependent acute lung injury. </w:t>
            </w:r>
            <w:r>
              <w:rPr>
                <w:rFonts w:hint="default" w:ascii="Times New Roman" w:hAnsi="Times New Roman" w:eastAsia="仿宋_GB2312" w:cs="Times New Roman"/>
                <w:b/>
                <w:sz w:val="22"/>
                <w:szCs w:val="22"/>
              </w:rPr>
              <w:t>Signal Transduction and Targeted Therapy</w:t>
            </w:r>
            <w:r>
              <w:rPr>
                <w:rFonts w:hint="default" w:ascii="Times New Roman" w:hAnsi="Times New Roman" w:eastAsia="仿宋_GB2312" w:cs="Times New Roman"/>
                <w:bCs/>
                <w:sz w:val="22"/>
                <w:szCs w:val="22"/>
              </w:rPr>
              <w:t>. 2021 Mar 3;6(1):103.</w:t>
            </w:r>
          </w:p>
          <w:p w14:paraId="72D73EE4">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仿宋_GB2312" w:cs="Times New Roman"/>
                <w:b/>
                <w:sz w:val="22"/>
                <w:szCs w:val="22"/>
              </w:rPr>
              <w:t>6.</w:t>
            </w:r>
            <w:r>
              <w:rPr>
                <w:rFonts w:hint="default" w:ascii="Times New Roman" w:hAnsi="Times New Roman" w:eastAsia="仿宋_GB2312" w:cs="Times New Roman"/>
                <w:bCs/>
                <w:sz w:val="22"/>
                <w:szCs w:val="22"/>
              </w:rPr>
              <w:t xml:space="preserve"> Tian BP, Xia LX, Bao ZQ, Zhang H, Xu ZW, Mao YY, Cao C, Che LQ, Liu JK, Li W, Chen ZH,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Shen HH*. Bcl-2 inhibitors reduce steroid-insensitive airway inflammation. </w:t>
            </w:r>
            <w:r>
              <w:rPr>
                <w:rFonts w:hint="default" w:ascii="Times New Roman" w:hAnsi="Times New Roman" w:eastAsia="仿宋_GB2312" w:cs="Times New Roman"/>
                <w:b/>
                <w:sz w:val="22"/>
                <w:szCs w:val="22"/>
              </w:rPr>
              <w:t>Journal of Allergy and Clinical Immunology</w:t>
            </w:r>
            <w:r>
              <w:rPr>
                <w:rFonts w:hint="default" w:ascii="Times New Roman" w:hAnsi="Times New Roman" w:eastAsia="仿宋_GB2312" w:cs="Times New Roman"/>
                <w:bCs/>
                <w:sz w:val="22"/>
                <w:szCs w:val="22"/>
              </w:rPr>
              <w:t xml:space="preserve">. 2017 Aug;140(2):418-430. </w:t>
            </w:r>
          </w:p>
          <w:p w14:paraId="155D8A14">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7.</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sz w:val="22"/>
                <w:szCs w:val="22"/>
                <w:u w:val="single"/>
              </w:rPr>
              <w:t>Ying S</w:t>
            </w:r>
            <w:r>
              <w:rPr>
                <w:rFonts w:hint="default" w:ascii="Times New Roman" w:hAnsi="Times New Roman" w:eastAsia="仿宋_GB2312" w:cs="Times New Roman"/>
                <w:b/>
                <w:sz w:val="22"/>
                <w:szCs w:val="22"/>
                <w:u w:val="single"/>
                <w:vertAlign w:val="superscript"/>
              </w:rPr>
              <w:t>#</w:t>
            </w:r>
            <w:r>
              <w:rPr>
                <w:rFonts w:hint="default" w:ascii="Times New Roman" w:hAnsi="Times New Roman" w:eastAsia="仿宋_GB2312" w:cs="Times New Roman"/>
                <w:b/>
                <w:sz w:val="22"/>
                <w:szCs w:val="22"/>
                <w:u w:val="single"/>
              </w:rPr>
              <w:t>*（第一完成人）</w:t>
            </w:r>
            <w:r>
              <w:rPr>
                <w:rFonts w:hint="default" w:ascii="Times New Roman" w:hAnsi="Times New Roman" w:eastAsia="仿宋_GB2312" w:cs="Times New Roman"/>
                <w:bCs/>
                <w:sz w:val="22"/>
                <w:szCs w:val="22"/>
              </w:rPr>
              <w:t>, Chen Z</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Medhurst AL, Neal JA, Bao Z, Mortusewicz O, McGouran J, Song X, Shen H, Hamdy FC, Kessler BM, Meek K, Helleday T*. DNA-PKcs and PARP1 Bind to Unresected Stalled DNA Replication Forks Where They Recruit XRCC1 to Mediate Repair. </w:t>
            </w:r>
            <w:r>
              <w:rPr>
                <w:rFonts w:hint="default" w:ascii="Times New Roman" w:hAnsi="Times New Roman" w:eastAsia="仿宋_GB2312" w:cs="Times New Roman"/>
                <w:b/>
                <w:sz w:val="22"/>
                <w:szCs w:val="22"/>
              </w:rPr>
              <w:t>Cancer Research</w:t>
            </w:r>
            <w:r>
              <w:rPr>
                <w:rFonts w:hint="default" w:ascii="Times New Roman" w:hAnsi="Times New Roman" w:eastAsia="仿宋_GB2312" w:cs="Times New Roman"/>
                <w:bCs/>
                <w:sz w:val="22"/>
                <w:szCs w:val="22"/>
              </w:rPr>
              <w:t>. 2016 Mar 1;76(5):1078-88.</w:t>
            </w:r>
          </w:p>
          <w:p w14:paraId="5E0304E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112" w:right="37"/>
              <w:textAlignment w:val="baseline"/>
              <w:rPr>
                <w:rFonts w:ascii="仿宋" w:hAnsi="仿宋" w:eastAsia="仿宋" w:cs="仿宋"/>
                <w:spacing w:val="-1"/>
                <w:sz w:val="24"/>
                <w:szCs w:val="24"/>
              </w:rPr>
            </w:pPr>
            <w:r>
              <w:rPr>
                <w:rFonts w:hint="default" w:ascii="Times New Roman" w:hAnsi="Times New Roman" w:eastAsia="仿宋_GB2312" w:cs="Times New Roman"/>
                <w:b/>
                <w:sz w:val="22"/>
                <w:szCs w:val="22"/>
              </w:rPr>
              <w:t xml:space="preserve">8. </w:t>
            </w:r>
            <w:r>
              <w:rPr>
                <w:rFonts w:hint="default" w:ascii="Times New Roman" w:hAnsi="Times New Roman" w:eastAsia="仿宋_GB2312" w:cs="Times New Roman"/>
                <w:bCs/>
                <w:sz w:val="22"/>
                <w:szCs w:val="22"/>
              </w:rPr>
              <w:t xml:space="preserve">Liao H, </w:t>
            </w:r>
            <w:r>
              <w:rPr>
                <w:rFonts w:hint="default" w:ascii="Times New Roman" w:hAnsi="Times New Roman" w:eastAsia="仿宋_GB2312" w:cs="Times New Roman"/>
                <w:b/>
                <w:bCs w:val="0"/>
                <w:sz w:val="22"/>
                <w:szCs w:val="22"/>
                <w:u w:val="single"/>
              </w:rPr>
              <w:t>Ji F</w:t>
            </w:r>
            <w:r>
              <w:rPr>
                <w:rFonts w:hint="eastAsia" w:ascii="Times New Roman" w:hAnsi="Times New Roman" w:eastAsia="仿宋_GB2312" w:cs="Times New Roman"/>
                <w:b/>
                <w:bCs w:val="0"/>
                <w:sz w:val="22"/>
                <w:szCs w:val="22"/>
                <w:u w:val="single"/>
                <w:lang w:eastAsia="zh-CN"/>
              </w:rPr>
              <w:t>（</w:t>
            </w:r>
            <w:r>
              <w:rPr>
                <w:rFonts w:hint="eastAsia" w:ascii="Times New Roman" w:hAnsi="Times New Roman" w:eastAsia="仿宋_GB2312" w:cs="Times New Roman"/>
                <w:b/>
                <w:bCs w:val="0"/>
                <w:sz w:val="22"/>
                <w:szCs w:val="22"/>
                <w:u w:val="single"/>
                <w:lang w:val="en-US" w:eastAsia="zh-CN"/>
              </w:rPr>
              <w:t>第四完成人）</w:t>
            </w:r>
            <w:r>
              <w:rPr>
                <w:rFonts w:hint="default" w:ascii="Times New Roman" w:hAnsi="Times New Roman" w:eastAsia="仿宋_GB2312" w:cs="Times New Roman"/>
                <w:bCs/>
                <w:sz w:val="22"/>
                <w:szCs w:val="22"/>
              </w:rPr>
              <w:t xml:space="preserve">, Helleday T,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Mechanisms for stalled replication fork stabilization: new targets for synthetic lethality strategies in cancer treatments. </w:t>
            </w:r>
            <w:r>
              <w:rPr>
                <w:rFonts w:hint="default" w:ascii="Times New Roman" w:hAnsi="Times New Roman" w:eastAsia="仿宋_GB2312" w:cs="Times New Roman"/>
                <w:b/>
                <w:sz w:val="22"/>
                <w:szCs w:val="22"/>
              </w:rPr>
              <w:t>EMBO Reports</w:t>
            </w:r>
            <w:r>
              <w:rPr>
                <w:rFonts w:hint="default" w:ascii="Times New Roman" w:hAnsi="Times New Roman" w:eastAsia="仿宋_GB2312" w:cs="Times New Roman"/>
                <w:bCs/>
                <w:sz w:val="22"/>
                <w:szCs w:val="22"/>
              </w:rPr>
              <w:t>. 2018 Sep;19(9):e46263.</w:t>
            </w:r>
          </w:p>
        </w:tc>
      </w:tr>
      <w:tr w14:paraId="3EBE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2272" w:type="dxa"/>
            <w:vAlign w:val="top"/>
          </w:tcPr>
          <w:p w14:paraId="1F1ABCBA">
            <w:pPr>
              <w:spacing w:line="259" w:lineRule="auto"/>
              <w:rPr>
                <w:rFonts w:ascii="Arial"/>
                <w:sz w:val="21"/>
              </w:rPr>
            </w:pPr>
          </w:p>
          <w:p w14:paraId="766C7A95">
            <w:pPr>
              <w:spacing w:line="259" w:lineRule="auto"/>
              <w:rPr>
                <w:rFonts w:ascii="Arial"/>
                <w:sz w:val="21"/>
              </w:rPr>
            </w:pPr>
          </w:p>
          <w:p w14:paraId="55E5101F">
            <w:pPr>
              <w:spacing w:line="259" w:lineRule="auto"/>
              <w:rPr>
                <w:rFonts w:ascii="Arial"/>
                <w:sz w:val="21"/>
              </w:rPr>
            </w:pPr>
          </w:p>
          <w:p w14:paraId="1438CC5C">
            <w:pPr>
              <w:spacing w:before="91" w:line="219" w:lineRule="auto"/>
              <w:ind w:left="456"/>
              <w:rPr>
                <w:rFonts w:ascii="仿宋" w:hAnsi="仿宋" w:eastAsia="仿宋" w:cs="仿宋"/>
                <w:sz w:val="28"/>
                <w:szCs w:val="28"/>
              </w:rPr>
            </w:pPr>
            <w:r>
              <w:rPr>
                <w:rFonts w:ascii="仿宋" w:hAnsi="仿宋" w:eastAsia="仿宋" w:cs="仿宋"/>
                <w:spacing w:val="-5"/>
                <w:sz w:val="28"/>
                <w:szCs w:val="28"/>
              </w:rPr>
              <w:t>主要完成人</w:t>
            </w:r>
          </w:p>
        </w:tc>
        <w:tc>
          <w:tcPr>
            <w:tcW w:w="6238" w:type="dxa"/>
            <w:vAlign w:val="top"/>
          </w:tcPr>
          <w:p w14:paraId="696A72FC">
            <w:pPr>
              <w:pStyle w:val="6"/>
              <w:spacing w:before="210" w:line="355" w:lineRule="exact"/>
              <w:ind w:left="114"/>
              <w:rPr>
                <w:rFonts w:hint="default" w:ascii="Times New Roman" w:hAnsi="Times New Roman" w:cs="Times New Roman" w:eastAsiaTheme="majorEastAsia"/>
                <w:sz w:val="24"/>
                <w:szCs w:val="24"/>
              </w:rPr>
            </w:pPr>
            <w:r>
              <w:rPr>
                <w:rFonts w:hint="default" w:ascii="Times New Roman" w:hAnsi="Times New Roman" w:cs="Times New Roman" w:eastAsiaTheme="majorEastAsia"/>
                <w:spacing w:val="-5"/>
                <w:position w:val="2"/>
                <w:sz w:val="24"/>
                <w:szCs w:val="24"/>
                <w:lang w:val="en-US" w:eastAsia="zh-CN"/>
              </w:rPr>
              <w:t>应颂敏</w:t>
            </w:r>
            <w:r>
              <w:rPr>
                <w:rFonts w:hint="default" w:ascii="Times New Roman" w:hAnsi="Times New Roman" w:cs="Times New Roman" w:eastAsiaTheme="majorEastAsia"/>
                <w:spacing w:val="-5"/>
                <w:position w:val="2"/>
                <w:sz w:val="24"/>
                <w:szCs w:val="24"/>
              </w:rPr>
              <w:t>，排名</w:t>
            </w:r>
            <w:r>
              <w:rPr>
                <w:rFonts w:hint="default" w:ascii="Times New Roman" w:hAnsi="Times New Roman" w:cs="Times New Roman" w:eastAsiaTheme="majorEastAsia"/>
                <w:spacing w:val="-19"/>
                <w:position w:val="2"/>
                <w:sz w:val="24"/>
                <w:szCs w:val="24"/>
              </w:rPr>
              <w:t xml:space="preserve"> </w:t>
            </w:r>
            <w:r>
              <w:rPr>
                <w:rFonts w:hint="default" w:ascii="Times New Roman" w:hAnsi="Times New Roman" w:cs="Times New Roman" w:eastAsiaTheme="majorEastAsia"/>
                <w:spacing w:val="-5"/>
                <w:position w:val="2"/>
                <w:sz w:val="24"/>
                <w:szCs w:val="24"/>
              </w:rPr>
              <w:t>1</w:t>
            </w:r>
            <w:r>
              <w:rPr>
                <w:rFonts w:hint="default" w:ascii="Times New Roman" w:hAnsi="Times New Roman" w:cs="Times New Roman" w:eastAsiaTheme="majorEastAsia"/>
                <w:spacing w:val="-27"/>
                <w:position w:val="2"/>
                <w:sz w:val="24"/>
                <w:szCs w:val="24"/>
              </w:rPr>
              <w:t xml:space="preserve"> </w:t>
            </w:r>
            <w:r>
              <w:rPr>
                <w:rFonts w:hint="default" w:ascii="Times New Roman" w:hAnsi="Times New Roman" w:cs="Times New Roman" w:eastAsiaTheme="majorEastAsia"/>
                <w:spacing w:val="-5"/>
                <w:position w:val="2"/>
                <w:sz w:val="24"/>
                <w:szCs w:val="24"/>
              </w:rPr>
              <w:t>，</w:t>
            </w:r>
            <w:r>
              <w:rPr>
                <w:rFonts w:hint="default" w:ascii="Times New Roman" w:hAnsi="Times New Roman" w:cs="Times New Roman" w:eastAsiaTheme="majorEastAsia"/>
                <w:spacing w:val="-5"/>
                <w:position w:val="2"/>
                <w:sz w:val="24"/>
                <w:szCs w:val="24"/>
                <w:lang w:val="en-US" w:eastAsia="zh-CN"/>
              </w:rPr>
              <w:t>教授</w:t>
            </w:r>
            <w:r>
              <w:rPr>
                <w:rFonts w:hint="default" w:ascii="Times New Roman" w:hAnsi="Times New Roman" w:cs="Times New Roman" w:eastAsiaTheme="majorEastAsia"/>
                <w:spacing w:val="-5"/>
                <w:position w:val="2"/>
                <w:sz w:val="24"/>
                <w:szCs w:val="24"/>
              </w:rPr>
              <w:t>，</w:t>
            </w:r>
            <w:r>
              <w:rPr>
                <w:rFonts w:hint="default" w:ascii="Times New Roman" w:hAnsi="Times New Roman" w:cs="Times New Roman" w:eastAsiaTheme="majorEastAsia"/>
                <w:spacing w:val="-5"/>
                <w:position w:val="2"/>
                <w:sz w:val="24"/>
                <w:szCs w:val="24"/>
                <w:lang w:val="en-US" w:eastAsia="zh-CN"/>
              </w:rPr>
              <w:t>浙江大学医学院附属第四医院</w:t>
            </w:r>
            <w:r>
              <w:rPr>
                <w:rFonts w:hint="default" w:ascii="Times New Roman" w:hAnsi="Times New Roman" w:cs="Times New Roman" w:eastAsiaTheme="majorEastAsia"/>
                <w:spacing w:val="-5"/>
                <w:position w:val="2"/>
                <w:sz w:val="24"/>
                <w:szCs w:val="24"/>
              </w:rPr>
              <w:t>；</w:t>
            </w:r>
          </w:p>
          <w:p w14:paraId="5DE57B04">
            <w:pPr>
              <w:pStyle w:val="6"/>
              <w:spacing w:before="86" w:line="355" w:lineRule="exact"/>
              <w:ind w:left="114"/>
              <w:rPr>
                <w:rFonts w:hint="default" w:ascii="Times New Roman" w:hAnsi="Times New Roman" w:cs="Times New Roman" w:eastAsiaTheme="majorEastAsia"/>
                <w:sz w:val="24"/>
                <w:szCs w:val="24"/>
              </w:rPr>
            </w:pPr>
            <w:r>
              <w:rPr>
                <w:rFonts w:hint="default" w:ascii="Times New Roman" w:hAnsi="Times New Roman" w:cs="Times New Roman" w:eastAsiaTheme="majorEastAsia"/>
                <w:spacing w:val="1"/>
                <w:position w:val="2"/>
                <w:sz w:val="24"/>
                <w:szCs w:val="24"/>
              </w:rPr>
              <w:t>DANTE NECULAI，排名2</w:t>
            </w:r>
            <w:r>
              <w:rPr>
                <w:rFonts w:hint="default" w:ascii="Times New Roman" w:hAnsi="Times New Roman" w:cs="Times New Roman" w:eastAsiaTheme="majorEastAsia"/>
                <w:spacing w:val="-28"/>
                <w:position w:val="2"/>
                <w:sz w:val="24"/>
                <w:szCs w:val="24"/>
              </w:rPr>
              <w:t xml:space="preserve"> </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教授</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5"/>
                <w:position w:val="2"/>
                <w:sz w:val="24"/>
                <w:szCs w:val="24"/>
                <w:lang w:val="en-US" w:eastAsia="zh-CN"/>
              </w:rPr>
              <w:t>浙江大学医学院附属第四医院</w:t>
            </w:r>
            <w:r>
              <w:rPr>
                <w:rFonts w:hint="default" w:ascii="Times New Roman" w:hAnsi="Times New Roman" w:cs="Times New Roman" w:eastAsiaTheme="majorEastAsia"/>
                <w:spacing w:val="1"/>
                <w:position w:val="2"/>
                <w:sz w:val="24"/>
                <w:szCs w:val="24"/>
              </w:rPr>
              <w:t>；</w:t>
            </w:r>
          </w:p>
          <w:p w14:paraId="4CAAD641">
            <w:pPr>
              <w:pStyle w:val="6"/>
              <w:spacing w:before="83" w:line="356" w:lineRule="exact"/>
              <w:ind w:left="114"/>
              <w:rPr>
                <w:rFonts w:hint="default" w:ascii="Times New Roman" w:hAnsi="Times New Roman" w:cs="Times New Roman" w:eastAsiaTheme="majorEastAsia"/>
                <w:spacing w:val="1"/>
                <w:position w:val="2"/>
                <w:sz w:val="24"/>
                <w:szCs w:val="24"/>
                <w:lang w:val="en-US" w:eastAsia="zh-CN"/>
              </w:rPr>
            </w:pPr>
            <w:r>
              <w:rPr>
                <w:rFonts w:hint="default" w:ascii="Times New Roman" w:hAnsi="Times New Roman" w:cs="Times New Roman" w:eastAsiaTheme="majorEastAsia"/>
                <w:spacing w:val="1"/>
                <w:position w:val="2"/>
                <w:sz w:val="24"/>
                <w:szCs w:val="24"/>
                <w:lang w:val="en-US" w:eastAsia="zh-CN"/>
              </w:rPr>
              <w:t>张超</w:t>
            </w:r>
            <w:r>
              <w:rPr>
                <w:rFonts w:hint="default" w:ascii="Times New Roman" w:hAnsi="Times New Roman" w:cs="Times New Roman" w:eastAsiaTheme="majorEastAsia"/>
                <w:spacing w:val="1"/>
                <w:position w:val="2"/>
                <w:sz w:val="24"/>
                <w:szCs w:val="24"/>
              </w:rPr>
              <w:t>，排名3</w:t>
            </w:r>
            <w:r>
              <w:rPr>
                <w:rFonts w:hint="default" w:ascii="Times New Roman" w:hAnsi="Times New Roman" w:cs="Times New Roman" w:eastAsiaTheme="majorEastAsia"/>
                <w:spacing w:val="-28"/>
                <w:position w:val="2"/>
                <w:sz w:val="24"/>
                <w:szCs w:val="24"/>
              </w:rPr>
              <w:t xml:space="preserve"> </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副教授</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浙江大学</w:t>
            </w:r>
          </w:p>
          <w:p w14:paraId="287175EA">
            <w:pPr>
              <w:pStyle w:val="6"/>
              <w:spacing w:before="85" w:line="356" w:lineRule="exact"/>
              <w:ind w:left="110"/>
              <w:rPr>
                <w:rFonts w:hint="default" w:ascii="仿宋" w:hAnsi="仿宋" w:eastAsia="仿宋" w:cs="仿宋"/>
                <w:spacing w:val="1"/>
                <w:position w:val="2"/>
                <w:sz w:val="24"/>
                <w:szCs w:val="24"/>
                <w:lang w:val="en-US" w:eastAsia="zh-CN"/>
              </w:rPr>
            </w:pPr>
            <w:r>
              <w:rPr>
                <w:rFonts w:hint="default" w:ascii="Times New Roman" w:hAnsi="Times New Roman" w:cs="Times New Roman" w:eastAsiaTheme="majorEastAsia"/>
                <w:spacing w:val="1"/>
                <w:position w:val="2"/>
                <w:sz w:val="24"/>
                <w:szCs w:val="24"/>
                <w:lang w:val="en-US" w:eastAsia="zh-CN"/>
              </w:rPr>
              <w:t>季芳，排名4，</w:t>
            </w:r>
            <w:r>
              <w:rPr>
                <w:rFonts w:hint="default" w:ascii="Times New Roman" w:hAnsi="Times New Roman" w:cs="Times New Roman" w:eastAsiaTheme="majorEastAsia"/>
                <w:spacing w:val="-1"/>
                <w:position w:val="2"/>
                <w:sz w:val="24"/>
                <w:szCs w:val="24"/>
                <w:lang w:val="en-US" w:eastAsia="zh-CN"/>
              </w:rPr>
              <w:t>浙江大学国际健康医学研究院</w:t>
            </w:r>
          </w:p>
        </w:tc>
      </w:tr>
      <w:tr w14:paraId="47D26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272" w:type="dxa"/>
            <w:vAlign w:val="top"/>
          </w:tcPr>
          <w:p w14:paraId="4E1D3031">
            <w:pPr>
              <w:spacing w:line="263" w:lineRule="auto"/>
              <w:rPr>
                <w:rFonts w:ascii="Arial"/>
                <w:sz w:val="21"/>
              </w:rPr>
            </w:pPr>
          </w:p>
          <w:p w14:paraId="0855E141">
            <w:pPr>
              <w:spacing w:line="264" w:lineRule="auto"/>
              <w:rPr>
                <w:rFonts w:ascii="Arial"/>
                <w:sz w:val="21"/>
              </w:rPr>
            </w:pPr>
          </w:p>
          <w:p w14:paraId="20E47F1F">
            <w:pPr>
              <w:spacing w:line="264" w:lineRule="auto"/>
              <w:rPr>
                <w:rFonts w:ascii="Arial"/>
                <w:sz w:val="21"/>
              </w:rPr>
            </w:pPr>
          </w:p>
          <w:p w14:paraId="11ED6629">
            <w:pPr>
              <w:spacing w:before="91" w:line="222" w:lineRule="auto"/>
              <w:ind w:left="320"/>
              <w:rPr>
                <w:rFonts w:ascii="仿宋" w:hAnsi="仿宋" w:eastAsia="仿宋" w:cs="仿宋"/>
                <w:sz w:val="28"/>
                <w:szCs w:val="28"/>
              </w:rPr>
            </w:pPr>
            <w:r>
              <w:rPr>
                <w:rFonts w:ascii="仿宋" w:hAnsi="仿宋" w:eastAsia="仿宋" w:cs="仿宋"/>
                <w:spacing w:val="-5"/>
                <w:sz w:val="28"/>
                <w:szCs w:val="28"/>
              </w:rPr>
              <w:t>主要完成单位</w:t>
            </w:r>
          </w:p>
        </w:tc>
        <w:tc>
          <w:tcPr>
            <w:tcW w:w="6238" w:type="dxa"/>
            <w:vAlign w:val="center"/>
          </w:tcPr>
          <w:p w14:paraId="410A92CD">
            <w:pPr>
              <w:pStyle w:val="6"/>
              <w:spacing w:before="225" w:line="357" w:lineRule="exact"/>
              <w:ind w:firstLine="23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5"/>
                <w:position w:val="2"/>
                <w:sz w:val="24"/>
                <w:szCs w:val="24"/>
              </w:rPr>
              <w:t>1.</w:t>
            </w:r>
            <w:r>
              <w:rPr>
                <w:rFonts w:hint="default" w:ascii="Times New Roman" w:hAnsi="Times New Roman" w:cs="Times New Roman" w:eastAsiaTheme="minorEastAsia"/>
                <w:spacing w:val="-1"/>
                <w:position w:val="2"/>
                <w:sz w:val="24"/>
                <w:szCs w:val="24"/>
                <w:lang w:val="en-US" w:eastAsia="zh-CN"/>
              </w:rPr>
              <w:t>浙江大学医学院附属第四医院；</w:t>
            </w:r>
          </w:p>
          <w:p w14:paraId="43B26877">
            <w:pPr>
              <w:pStyle w:val="6"/>
              <w:spacing w:before="85" w:line="356" w:lineRule="exact"/>
              <w:ind w:firstLine="238" w:firstLineChars="100"/>
              <w:rPr>
                <w:rFonts w:hint="default" w:ascii="Times New Roman" w:hAnsi="Times New Roman" w:cs="Times New Roman" w:eastAsiaTheme="minorEastAsia"/>
                <w:spacing w:val="-1"/>
                <w:position w:val="2"/>
                <w:sz w:val="24"/>
                <w:szCs w:val="24"/>
                <w:lang w:val="en-US" w:eastAsia="zh-CN"/>
              </w:rPr>
            </w:pPr>
            <w:r>
              <w:rPr>
                <w:rFonts w:hint="default" w:ascii="Times New Roman" w:hAnsi="Times New Roman" w:cs="Times New Roman" w:eastAsiaTheme="minorEastAsia"/>
                <w:spacing w:val="-1"/>
                <w:position w:val="2"/>
                <w:sz w:val="24"/>
                <w:szCs w:val="24"/>
              </w:rPr>
              <w:t>2.</w:t>
            </w:r>
            <w:r>
              <w:rPr>
                <w:rFonts w:hint="default" w:ascii="Times New Roman" w:hAnsi="Times New Roman" w:cs="Times New Roman" w:eastAsiaTheme="minorEastAsia"/>
                <w:spacing w:val="-1"/>
                <w:position w:val="2"/>
                <w:sz w:val="24"/>
                <w:szCs w:val="24"/>
                <w:lang w:val="en-US" w:eastAsia="zh-CN"/>
              </w:rPr>
              <w:t>浙江大学；</w:t>
            </w:r>
          </w:p>
          <w:p w14:paraId="306130FA">
            <w:pPr>
              <w:pStyle w:val="6"/>
              <w:spacing w:before="85" w:line="356" w:lineRule="exact"/>
              <w:ind w:firstLine="238" w:firstLineChars="100"/>
            </w:pPr>
            <w:r>
              <w:rPr>
                <w:rFonts w:hint="default" w:ascii="Times New Roman" w:hAnsi="Times New Roman" w:cs="Times New Roman" w:eastAsiaTheme="minorEastAsia"/>
                <w:spacing w:val="-1"/>
                <w:position w:val="2"/>
                <w:sz w:val="24"/>
                <w:szCs w:val="24"/>
                <w:lang w:val="en-US" w:eastAsia="zh-CN"/>
              </w:rPr>
              <w:t>3.浙江大学国际健康医学研究院</w:t>
            </w:r>
          </w:p>
        </w:tc>
      </w:tr>
      <w:tr w14:paraId="369F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72" w:type="dxa"/>
            <w:vAlign w:val="top"/>
          </w:tcPr>
          <w:p w14:paraId="4800494F">
            <w:pPr>
              <w:spacing w:before="210" w:line="216" w:lineRule="auto"/>
              <w:ind w:left="581"/>
              <w:rPr>
                <w:rFonts w:ascii="仿宋" w:hAnsi="仿宋" w:eastAsia="仿宋" w:cs="仿宋"/>
                <w:sz w:val="28"/>
                <w:szCs w:val="28"/>
              </w:rPr>
            </w:pPr>
            <w:r>
              <w:rPr>
                <w:rFonts w:ascii="仿宋" w:hAnsi="仿宋" w:eastAsia="仿宋" w:cs="仿宋"/>
                <w:spacing w:val="-2"/>
                <w:sz w:val="28"/>
                <w:szCs w:val="28"/>
              </w:rPr>
              <w:t>提名单位</w:t>
            </w:r>
          </w:p>
        </w:tc>
        <w:tc>
          <w:tcPr>
            <w:tcW w:w="6238" w:type="dxa"/>
            <w:vAlign w:val="center"/>
          </w:tcPr>
          <w:p w14:paraId="1FFD599E">
            <w:pPr>
              <w:ind w:firstLine="238" w:firstLineChars="100"/>
              <w:rPr>
                <w:rFonts w:hint="default" w:ascii="Arial" w:eastAsia="宋体"/>
                <w:sz w:val="21"/>
                <w:lang w:val="en-US" w:eastAsia="zh-CN"/>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浙江大学</w:t>
            </w:r>
          </w:p>
        </w:tc>
      </w:tr>
      <w:tr w14:paraId="605E4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1" w:hRule="atLeast"/>
        </w:trPr>
        <w:tc>
          <w:tcPr>
            <w:tcW w:w="2272" w:type="dxa"/>
            <w:vAlign w:val="top"/>
          </w:tcPr>
          <w:p w14:paraId="25A2C0B4">
            <w:pPr>
              <w:spacing w:line="267" w:lineRule="auto"/>
              <w:rPr>
                <w:rFonts w:ascii="Arial"/>
                <w:sz w:val="21"/>
              </w:rPr>
            </w:pPr>
          </w:p>
          <w:p w14:paraId="5A57CD00">
            <w:pPr>
              <w:spacing w:line="267" w:lineRule="auto"/>
              <w:rPr>
                <w:rFonts w:ascii="Arial"/>
                <w:sz w:val="21"/>
              </w:rPr>
            </w:pPr>
          </w:p>
          <w:p w14:paraId="104AC1F6">
            <w:pPr>
              <w:spacing w:line="267" w:lineRule="auto"/>
              <w:rPr>
                <w:rFonts w:ascii="Arial"/>
                <w:sz w:val="21"/>
              </w:rPr>
            </w:pPr>
          </w:p>
          <w:p w14:paraId="09340B76">
            <w:pPr>
              <w:spacing w:line="267" w:lineRule="auto"/>
              <w:rPr>
                <w:rFonts w:ascii="Arial"/>
                <w:sz w:val="21"/>
              </w:rPr>
            </w:pPr>
          </w:p>
          <w:p w14:paraId="65F2B0E6">
            <w:pPr>
              <w:spacing w:line="268" w:lineRule="auto"/>
              <w:rPr>
                <w:rFonts w:ascii="Arial"/>
                <w:sz w:val="21"/>
              </w:rPr>
            </w:pPr>
          </w:p>
          <w:p w14:paraId="0217E983">
            <w:pPr>
              <w:spacing w:line="268" w:lineRule="auto"/>
              <w:rPr>
                <w:rFonts w:ascii="Arial"/>
                <w:sz w:val="21"/>
              </w:rPr>
            </w:pPr>
          </w:p>
          <w:p w14:paraId="3F0C0BCB">
            <w:pPr>
              <w:spacing w:before="91" w:line="220" w:lineRule="auto"/>
              <w:ind w:left="581"/>
              <w:rPr>
                <w:rFonts w:ascii="仿宋" w:hAnsi="仿宋" w:eastAsia="仿宋" w:cs="仿宋"/>
                <w:sz w:val="28"/>
                <w:szCs w:val="28"/>
              </w:rPr>
            </w:pPr>
            <w:r>
              <w:rPr>
                <w:rFonts w:ascii="仿宋" w:hAnsi="仿宋" w:eastAsia="仿宋" w:cs="仿宋"/>
                <w:spacing w:val="-2"/>
                <w:sz w:val="28"/>
                <w:szCs w:val="28"/>
              </w:rPr>
              <w:t>提名意见</w:t>
            </w:r>
          </w:p>
        </w:tc>
        <w:tc>
          <w:tcPr>
            <w:tcW w:w="6238" w:type="dxa"/>
            <w:vAlign w:val="top"/>
          </w:tcPr>
          <w:p w14:paraId="5375A218">
            <w:pPr>
              <w:keepNext w:val="0"/>
              <w:keepLines w:val="0"/>
              <w:pageBreakBefore w:val="0"/>
              <w:widowControl/>
              <w:kinsoku w:val="0"/>
              <w:wordWrap/>
              <w:overflowPunct/>
              <w:topLinePunct w:val="0"/>
              <w:autoSpaceDE w:val="0"/>
              <w:autoSpaceDN w:val="0"/>
              <w:bidi w:val="0"/>
              <w:adjustRightInd w:val="0"/>
              <w:snapToGrid w:val="0"/>
              <w:spacing w:before="0" w:beforeLines="50" w:line="276" w:lineRule="auto"/>
              <w:ind w:left="105" w:leftChars="50" w:right="105" w:rightChars="50" w:firstLine="476" w:firstLineChars="200"/>
              <w:textAlignment w:val="baseline"/>
              <w:rPr>
                <w:rFonts w:hint="eastAsia" w:asciiTheme="minorEastAsia" w:hAnsiTheme="minorEastAsia" w:eastAsiaTheme="minorEastAsia" w:cstheme="minorEastAsia"/>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衰老是全球性的重大健康挑战，其核心特征包括基因组不稳定性、线粒体功能障碍、细胞衰老及和慢性炎症等，与多种慢性病的发生发展密切相关。慢性气道疾病（如哮喘、慢阻肺病等）作为典型的年龄相关慢性炎症性疾病，以进行性加重的气道炎症细胞浸润和反复发作为临床特点，严重影响患者生活质量。深入揭示衰老在慢性气道疾病发生中的作用机制，阐明其病理生理功能，并据此开发靶向干预策略，已成为该研究领域的重点和难点。</w:t>
            </w:r>
          </w:p>
          <w:p w14:paraId="0A03789E">
            <w:pPr>
              <w:keepNext w:val="0"/>
              <w:keepLines w:val="0"/>
              <w:pageBreakBefore w:val="0"/>
              <w:widowControl/>
              <w:kinsoku/>
              <w:wordWrap/>
              <w:overflowPunct/>
              <w:topLinePunct w:val="0"/>
              <w:autoSpaceDE w:val="0"/>
              <w:autoSpaceDN w:val="0"/>
              <w:bidi w:val="0"/>
              <w:adjustRightInd w:val="0"/>
              <w:snapToGrid w:val="0"/>
              <w:spacing w:line="276" w:lineRule="auto"/>
              <w:ind w:left="105" w:leftChars="50" w:right="105" w:rightChars="50" w:firstLine="476" w:firstLineChars="200"/>
              <w:textAlignment w:val="baseline"/>
              <w:rPr>
                <w:rFonts w:hint="eastAsia" w:asciiTheme="minorEastAsia" w:hAnsiTheme="minorEastAsia" w:eastAsiaTheme="minorEastAsia" w:cstheme="minorEastAsia"/>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该团队长期致力于衰老及老化在慢性气道疾病中作用机制与靶向干预策略研究，主要方向包括：慢性炎症状态下衰老发生的分子机制、衰老驱动气道炎症与肺损伤的病理学联系，以及靶向衰老与炎症进程的新型干预策略开发。在国家级及省部级多项重大课题（包括国家自然科学基金国际(地区)合作交流项目、国家杰出青年科学基金、优秀青年科学基金及浙江省自然科学基金重大项目等）的持续支持下，团队围绕分子机制、病理调控及靶向干预三大研究方向，取得了系统性创新成果：绘制了基因组不稳定性区域的高分辨率图谱，揭示了染色体损伤的非随机性分布规律，为理解遗传信息稳定性维持及细胞衰老发生机制提供了新理论。系统阐释了在炎症细胞分化与激活过程中，基因组不稳定和线粒体异常等关键事件触发细胞衰老的信号网络，并基于上述机制开发出具有潜力的抗炎与抗衰老新策略。</w:t>
            </w:r>
          </w:p>
          <w:p w14:paraId="2281D008">
            <w:pPr>
              <w:keepNext w:val="0"/>
              <w:keepLines w:val="0"/>
              <w:pageBreakBefore w:val="0"/>
              <w:widowControl/>
              <w:wordWrap/>
              <w:overflowPunct/>
              <w:topLinePunct w:val="0"/>
              <w:autoSpaceDE w:val="0"/>
              <w:autoSpaceDN w:val="0"/>
              <w:bidi w:val="0"/>
              <w:adjustRightInd w:val="0"/>
              <w:snapToGrid w:val="0"/>
              <w:spacing w:line="276" w:lineRule="auto"/>
              <w:ind w:left="105" w:leftChars="50" w:right="105" w:rightChars="50" w:firstLine="476" w:firstLineChars="200"/>
              <w:textAlignment w:val="baseline"/>
              <w:rPr>
                <w:rFonts w:hint="eastAsia" w:ascii="仿宋" w:hAnsi="仿宋" w:eastAsia="仿宋" w:cs="仿宋"/>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相关代表性成果发表于《Science》、《Molecular Cell》、《Cell Research》等国际高水平期刊，理论创新与技术方法创新显著，获得了国内外同行的广泛关注、积极评价与高频引用。该研究契合我国和我省在主动健康与人口老龄化科技应对方面的重大战略需求，成果具有重要的科学价值与临床意义。同意提名该成果申报省自然科学奖一等奖。</w:t>
            </w:r>
          </w:p>
          <w:p w14:paraId="0C82623F">
            <w:pPr>
              <w:keepNext w:val="0"/>
              <w:keepLines w:val="0"/>
              <w:pageBreakBefore w:val="0"/>
              <w:widowControl/>
              <w:wordWrap/>
              <w:overflowPunct/>
              <w:topLinePunct w:val="0"/>
              <w:autoSpaceDE w:val="0"/>
              <w:autoSpaceDN w:val="0"/>
              <w:bidi w:val="0"/>
              <w:adjustRightInd w:val="0"/>
              <w:snapToGrid w:val="0"/>
              <w:ind w:left="105" w:leftChars="50" w:right="105" w:rightChars="50" w:firstLine="476" w:firstLineChars="200"/>
              <w:textAlignment w:val="baseline"/>
              <w:rPr>
                <w:rFonts w:hint="eastAsia" w:ascii="仿宋" w:hAnsi="仿宋" w:eastAsia="仿宋" w:cs="仿宋"/>
                <w:snapToGrid w:val="0"/>
                <w:color w:val="000000"/>
                <w:spacing w:val="-1"/>
                <w:kern w:val="0"/>
                <w:position w:val="2"/>
                <w:sz w:val="24"/>
                <w:szCs w:val="24"/>
                <w:lang w:val="en-US" w:eastAsia="zh-CN" w:bidi="ar-SA"/>
              </w:rPr>
            </w:pPr>
          </w:p>
          <w:p w14:paraId="706B5C2E">
            <w:pPr>
              <w:keepNext w:val="0"/>
              <w:keepLines w:val="0"/>
              <w:pageBreakBefore w:val="0"/>
              <w:widowControl/>
              <w:wordWrap/>
              <w:overflowPunct/>
              <w:topLinePunct w:val="0"/>
              <w:autoSpaceDE w:val="0"/>
              <w:autoSpaceDN w:val="0"/>
              <w:bidi w:val="0"/>
              <w:adjustRightInd w:val="0"/>
              <w:snapToGrid w:val="0"/>
              <w:ind w:left="105" w:leftChars="50" w:right="105" w:rightChars="50"/>
              <w:textAlignment w:val="baseline"/>
              <w:rPr>
                <w:rFonts w:ascii="Arial"/>
                <w:sz w:val="21"/>
              </w:rPr>
            </w:pPr>
            <w:r>
              <w:rPr>
                <w:rFonts w:hint="eastAsia" w:ascii="仿宋" w:hAnsi="仿宋" w:eastAsia="仿宋" w:cs="仿宋"/>
                <w:snapToGrid w:val="0"/>
                <w:color w:val="000000"/>
                <w:spacing w:val="-1"/>
                <w:kern w:val="0"/>
                <w:position w:val="2"/>
                <w:sz w:val="28"/>
                <w:szCs w:val="28"/>
                <w:lang w:val="en-US" w:eastAsia="zh-CN" w:bidi="ar-SA"/>
              </w:rPr>
              <w:t>提名该成果为省自然科学奖</w:t>
            </w:r>
            <w:r>
              <w:rPr>
                <w:rFonts w:hint="eastAsia" w:ascii="仿宋" w:hAnsi="仿宋" w:eastAsia="仿宋" w:cs="仿宋"/>
                <w:snapToGrid w:val="0"/>
                <w:color w:val="000000"/>
                <w:spacing w:val="-1"/>
                <w:kern w:val="0"/>
                <w:position w:val="2"/>
                <w:sz w:val="28"/>
                <w:szCs w:val="28"/>
                <w:u w:val="single"/>
                <w:lang w:val="en-US" w:eastAsia="zh-CN" w:bidi="ar-SA"/>
              </w:rPr>
              <w:t>一等奖</w:t>
            </w:r>
          </w:p>
        </w:tc>
      </w:tr>
    </w:tbl>
    <w:p w14:paraId="330C30BB"/>
    <w:sectPr>
      <w:headerReference r:id="rId5" w:type="default"/>
      <w:footerReference r:id="rId6" w:type="default"/>
      <w:pgSz w:w="11906" w:h="16839"/>
      <w:pgMar w:top="400" w:right="1680" w:bottom="1248" w:left="1497" w:header="0" w:footer="9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F798">
    <w:pPr>
      <w:spacing w:line="264" w:lineRule="exact"/>
      <w:ind w:left="432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740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10B2"/>
    <w:multiLevelType w:val="singleLevel"/>
    <w:tmpl w:val="1DB110B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D7DD7"/>
    <w:rsid w:val="04FF212C"/>
    <w:rsid w:val="08AC25CB"/>
    <w:rsid w:val="0F8751F8"/>
    <w:rsid w:val="12C34799"/>
    <w:rsid w:val="1A0E0D10"/>
    <w:rsid w:val="1A6E148E"/>
    <w:rsid w:val="210C7C53"/>
    <w:rsid w:val="27EE7438"/>
    <w:rsid w:val="2D8A6187"/>
    <w:rsid w:val="2FF87D20"/>
    <w:rsid w:val="321A6244"/>
    <w:rsid w:val="360D0250"/>
    <w:rsid w:val="3D7E6881"/>
    <w:rsid w:val="409F1AF2"/>
    <w:rsid w:val="463E7C5E"/>
    <w:rsid w:val="4D940DD1"/>
    <w:rsid w:val="54131969"/>
    <w:rsid w:val="55603AEE"/>
    <w:rsid w:val="57E52089"/>
    <w:rsid w:val="65C22F9E"/>
    <w:rsid w:val="702C664F"/>
    <w:rsid w:val="71AC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2835</Characters>
  <Lines>0</Lines>
  <Paragraphs>0</Paragraphs>
  <TotalTime>3</TotalTime>
  <ScaleCrop>false</ScaleCrop>
  <LinksUpToDate>false</LinksUpToDate>
  <CharactersWithSpaces>3202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2025-09-10T00:09:00Z</dcterms:created>
  <dc:creator>少华</dc:creator>
  <cp:lastModifiedBy>张超</cp:lastModifiedBy>
  <dcterms:modified xsi:type="dcterms:W3CDTF">2025-09-11T08:52:27Z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D72140AD99F54706BD370E4F75A25A1D_13</vt:lpwstr>
  </property>
  <property fmtid="{D5CDD505-2E9C-101B-9397-08002B2CF9AE}" pid="4" name="KSOTemplateDocerSaveRecord">
    <vt:lpwstr>eyJoZGlkIjoiZGNkZTFlOGU0OWZiYWZjZWZmYzc5M2U0MzhlNzY1MzUiLCJ1c2VySWQiOiI2MzgzMjI0OTMifQ==</vt:lpwstr>
  </property>
</Properties>
</file>